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w:t>
      </w:r>
    </w:p>
    <w:p>
      <w:r>
        <w:t>Bundesgericht (BGE), 2008-12-03, FR</w:t>
      </w:r>
    </w:p>
    <w:p>
      <w:r>
        <w:rPr>
          <w:b/>
        </w:rPr>
        <w:t xml:space="preserve">Quelle: </w:t>
      </w:r>
      <w:r>
        <w:t>https://mcp.opencaselaw.ch/entscheid/bge_136 II 1</w:t>
      </w:r>
    </w:p>
    <w:p>
      <w:r>
        <w:t>FR: ATF 136 II 1</w:t>
      </w:r>
    </w:p>
    <w:p>
      <w:r>
        <w:t>IT: DTF 136 II 1</w:t>
      </w:r>
    </w:p>
    <w:p>
      <w:pPr>
        <w:pStyle w:val="Heading2"/>
      </w:pPr>
      <w:r>
        <w:t>Regeste</w:t>
      </w:r>
    </w:p>
    <w:p>
      <w:r>
        <w:t>Regeste Art. 50 Abs. 1 lit. b und Abs. 2 AuG; weiterer Aufenthalt in der Schweiz aus wichtigen persönlichen Gründen. Die eheliche Gewalt einerseits und die starke Gefährdung der sozialen Wiedereingliederung im Herkunftsland anderseits können ihrem Ausmass und den Gesamtumständen entsprechend je für sich einen wichtigen persönlichen Grund darstellen. Liegen beide Umstände gleichzeitig vor, ist die Aufrechterhaltung des Aufenthaltsrechts des Ehegatten und der Kinder geboten (E. 4 und 5).</w:t>
      </w:r>
    </w:p>
    <w:p>
      <w:pPr>
        <w:pStyle w:val="Heading2"/>
      </w:pPr>
      <w:r>
        <w:t>Erwägungen</w:t>
      </w:r>
    </w:p>
    <w:p>
      <w:r>
        <w:rPr>
          <w:b/>
        </w:rPr>
        <w:t>E. 4.1</w:t>
      </w:r>
    </w:p>
    <w:p>
      <w:r>
        <w:t>L'art. 50 al. 1 LEtr prévoit, on l'a vu, qu'après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Selon l'art. 50 al. 2 LEtr, repris par l'art. 77 al. 2 de l'ordonnance du 24 octobre 2007 relative à l'admission, au séjour et à l'exercice d'une activité lucrative (OASA; RS 142.201) pour les cas prévus par l'art. 44 LEtr, les raisons personnelles majeures visées à l'alinéa 1 let. b, sont notamment données lorsque le conjoint est victime de violence conjugale et que la réintégration sociale dans le pays de provenance semble fortement compromise.</w:t>
      </w:r>
    </w:p>
    <w:p>
      <w:r>
        <w:rPr>
          <w:b/>
        </w:rPr>
        <w:t>E. 4.2</w:t>
      </w:r>
    </w:p>
    <w:p>
      <w:r>
        <w:t>Dans l'arrêt attaqué, le Tribunal cantonal n'a pas qualifié les cris et la seule gifle subis par le recourant de la part de son ex-conjoint BGE 136 II 1 S. 3 de "violence conjugale". Il a estimé qu'il pouvait laisser cette question ouverte du moment qu'il jugeait non réalisée la deuxième condition énoncée par l'art. 50 al. 2 LEtr. Ce faisant, il a implicitement considéré que l'art. 50 al. 2 LEtr comprenait des conditions cumulatives, ce qu'il convient d'examiner d'office (cf. consid. 3.1 non publié).</w:t>
      </w:r>
    </w:p>
    <w:p>
      <w:r>
        <w:rPr>
          <w:b/>
        </w:rPr>
        <w:t>E. 5.1</w:t>
      </w:r>
    </w:p>
    <w:p>
      <w:r>
        <w:t>D'après le message du 8 mars 2002 concernant la loi sur les étrangers (FF 2002 3511 s.), "en cas de dissolution du mariage, il importe d'éviter que le retrait du droit au séjour ne cause un cas individuel d'une extrême gravité [..]. Pour éviter des cas de rigueur, le droit de séjour du conjoint et des enfants sera maintenu même après la dissolution du mariage ou du ménage commun, lorsque des motifs personnels graves exigent la poursuite du séjour en Suisse. La poursuite du séjour en Suisse peut s'imposer lorsque le conjoint demeurant en Suisse est décédé ou lorsque la réinsertion familiale et sociale dans le pays d'origine s'avère particulièrement difficile en raison de l'échec du mariage.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w:t>
      </w:r>
    </w:p>
    <w:p>
      <w:r>
        <w:rPr>
          <w:b/>
        </w:rPr>
        <w:t>E. 5.2</w:t>
      </w:r>
    </w:p>
    <w:p>
      <w:r>
        <w:t>Durant les débats devant le Conseil national, le Conseiller fédéral Blocher a fait remarquer que la majorité de la Commission avait proposé une rédaction différente de celle du Conseil fédéral en donnant un exemple de ce qu'il fallait entendre par raisons personnelles majeures, en ajoutant "lorsque le conjoint est victime de violence conjugale et la réintégration sociale dans le pays de provenance semble fortement compromise". M. Blocher a néanmoins rappelé que cela n'excluait pas d'autres raisons personnelles (BO 2004 CN 1064). Certains parlementaires ont souhaité que l'étranger puisse rester en Suisse après la dissolution du mariage sans condition (interventions Vermot, Thanei, BO 2004 CN 1062 s.). D'autres ont souhaité formuler cette disposition sur un mode potestatif (proposition Wasserfallen, BO 2004 CN 1061). Ces interventions et propositions n'ont pas été suivies. Dans son intervention, G. Pfister qualifie la proposition de la majorité de la Commission de "bonne solution intermédiaire" affirmant BGE 136 II 1 S. 4 que la majorité a "concrétisé la notion de raisons personnelles majeures" en précisant par exemple qu'il faut être en présence de violences conjugales ou ("oder") de réintégration fortement compromise et rappelle que la loi utilise le terme "notamment" pour laisser aux autorités une certaine liberté d'appréciation humanitaire (intervention Gerhard Pfister, BO 2004 CN 1064). Au vote, le texte présenté par la majorité a été adopté (BO 2004 CN 1065). Le Conseil des Etats s'est rangé sans débat à la proposition de la majorité qui correspond au texte légal tel qu'il est entré en vigueur (BO 2005 CE 310).</w:t>
      </w:r>
    </w:p>
    <w:p>
      <w:r>
        <w:rPr>
          <w:b/>
        </w:rPr>
        <w:t>E. 5.3</w:t>
      </w:r>
    </w:p>
    <w:p>
      <w:r>
        <w:t>Au vu de ce qui précède,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arrêt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BGE 136 II 1 S. 5</w:t>
      </w:r>
    </w:p>
    <w:p>
      <w:r>
        <w:rPr>
          <w:b/>
        </w:rPr>
        <w:t>E. 5.4</w:t>
      </w:r>
    </w:p>
    <w:p>
      <w:r>
        <w:t>Les faits retenus par le Tribunal cantonal dans l'arrêt attaqué permettent d'affirmer que le recourant a été victime de violence conjugale. Il n'est toutefois pas établi que, dans son intensité, cette violence risquait de le perturber gravement. Au surplus, c'est à bon droit que la réintégration sociale du recourant dans son pays d'origine ne pouvait être considérée comme fortement compromise. Ce dernier est en effet arrivé en Suisse à l'âge de 21 ans. Il y a séjourné environ 6 ans. Il est aujourd'hui âgé de moins de trente ans et en bonne santé. Selon les faits retenus par le Tribunal cantonal, il n'a pas d'attaches particulières en Suisse. En revanche, toute sa famille réside encore au Cameroun. Dans ces circonstances, en jugeant que le recourant ne pouvait se prévaloir de l'art. 50 al. 1 let. b LEtr pour obtenir une prolongation de son autorisation de séjour, le Tribunal cantonal a respecté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